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E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91218" w:rsidRPr="004045E6" w:rsidRDefault="00E45CBE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A91218"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18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приказом министерства финансов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Нижегородской области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04.07.2023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76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A4B" w:rsidRDefault="00657A4B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A91218" w:rsidRPr="004045E6" w:rsidRDefault="004E7F79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1218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финансо</w:t>
      </w:r>
      <w:r w:rsidR="007D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Нижегородской области на 2023</w:t>
      </w:r>
      <w:r w:rsidR="005C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- 2024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98"/>
        <w:gridCol w:w="3542"/>
        <w:gridCol w:w="2271"/>
        <w:gridCol w:w="2557"/>
      </w:tblGrid>
      <w:tr w:rsidR="00A61F5F" w:rsidRPr="004045E6" w:rsidTr="00045722">
        <w:trPr>
          <w:tblHeader/>
        </w:trPr>
        <w:tc>
          <w:tcPr>
            <w:tcW w:w="243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6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15" w:type="pct"/>
          </w:tcPr>
          <w:p w:rsidR="00AF399F" w:rsidRPr="004045E6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A91218" w:rsidRPr="004045E6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779" w:type="pct"/>
          </w:tcPr>
          <w:p w:rsidR="00A91218" w:rsidRPr="004045E6" w:rsidRDefault="00AF399F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77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91218" w:rsidRPr="004045E6" w:rsidTr="005D43DD">
        <w:tc>
          <w:tcPr>
            <w:tcW w:w="5000" w:type="pct"/>
            <w:gridSpan w:val="5"/>
          </w:tcPr>
          <w:p w:rsidR="00A91218" w:rsidRPr="004045E6" w:rsidRDefault="00A91218" w:rsidP="00AF3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5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Совершенствование </w:t>
            </w:r>
            <w:r w:rsidR="00AF3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правового регулирования </w:t>
            </w:r>
            <w:r w:rsidRPr="004045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противодействия коррупции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A91218" w:rsidRPr="00045722" w:rsidRDefault="00AF399F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пределах своей компетенции в подг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и рассмотрении проектов нормативных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 Нижегородской области в сфере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</w:p>
        </w:tc>
        <w:tc>
          <w:tcPr>
            <w:tcW w:w="1215" w:type="pct"/>
          </w:tcPr>
          <w:p w:rsidR="00A91218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и отдел правого обеспечения </w:t>
            </w:r>
            <w:r w:rsid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A91218" w:rsidRPr="00045722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A91218" w:rsidRPr="00045722" w:rsidRDefault="00AF399F" w:rsidP="00045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Формирование норм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тивной базы Нижег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родской области по вопросам противоде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</w:tr>
      <w:tr w:rsidR="00646814" w:rsidRPr="00045722" w:rsidTr="00045722">
        <w:tc>
          <w:tcPr>
            <w:tcW w:w="243" w:type="pct"/>
          </w:tcPr>
          <w:p w:rsidR="00646814" w:rsidRPr="00045722" w:rsidRDefault="00646814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646814" w:rsidRPr="00045722" w:rsidRDefault="00646814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правовых актов мин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стерства финансов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противодействия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 в целях приведения их в соответствие с изменениями в действующем законодательстве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1215" w:type="pct"/>
          </w:tcPr>
          <w:p w:rsidR="00646814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и отдел правого обеспечения </w:t>
            </w:r>
            <w:r w:rsid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646814" w:rsidRPr="00045722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646814" w:rsidRPr="00045722" w:rsidRDefault="00646814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соответствие с действующим закон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</w:tcPr>
          <w:p w:rsidR="00A91218" w:rsidRPr="00045722" w:rsidRDefault="00A91218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актов министерства финансов</w:t>
            </w:r>
            <w:proofErr w:type="gramEnd"/>
          </w:p>
        </w:tc>
        <w:tc>
          <w:tcPr>
            <w:tcW w:w="1215" w:type="pct"/>
          </w:tcPr>
          <w:p w:rsidR="00A91218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правого обеспечения управления делами</w:t>
            </w:r>
          </w:p>
        </w:tc>
        <w:tc>
          <w:tcPr>
            <w:tcW w:w="779" w:type="pct"/>
          </w:tcPr>
          <w:p w:rsidR="00A91218" w:rsidRPr="00045722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A91218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</w:t>
            </w:r>
            <w:proofErr w:type="spell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рупциогенных</w:t>
            </w:r>
            <w:proofErr w:type="spell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выявляемых в нормативных прав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актах и их прое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86" w:type="pct"/>
          </w:tcPr>
          <w:p w:rsidR="00A91218" w:rsidRPr="00045722" w:rsidRDefault="00AF399F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рупционной экспертизы и общественного обсу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проектов нормативных правовых актов 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жегородской области, в том числе актов Губерн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и Правительства Нижегородской области</w:t>
            </w:r>
          </w:p>
          <w:p w:rsidR="00A91218" w:rsidRPr="00045722" w:rsidRDefault="00A91218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91218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и отдел правого обеспечения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A91218" w:rsidRPr="00045722" w:rsidRDefault="00AF399F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3907EE" w:rsidRPr="00045722" w:rsidRDefault="00AF399F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Указа 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бернатора Нижег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 от 29.12.2016 № 166 «</w:t>
            </w:r>
            <w:r w:rsidR="00953AE9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офиц</w:t>
            </w:r>
            <w:r w:rsidR="00953AE9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3AE9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ального сайта для размещения проект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нормативно правовых актов Нижегородской области в целях их общественного о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и провед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независимой а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316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тикоррупционной экспертизы»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Правител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Нижегородской области от 03.11.2017 № 784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размещения на оф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циальном сайте Пр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Нижег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F4FE6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области пр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нормативных правовых актов Ниж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области в целях их обществе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обсуждения и проведения независ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07EE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экспертизы»</w:t>
            </w:r>
          </w:p>
        </w:tc>
      </w:tr>
      <w:tr w:rsidR="003907EE" w:rsidRPr="00045722" w:rsidTr="00045722">
        <w:tc>
          <w:tcPr>
            <w:tcW w:w="243" w:type="pct"/>
          </w:tcPr>
          <w:p w:rsidR="003907EE" w:rsidRPr="00045722" w:rsidRDefault="003907EE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6" w:type="pct"/>
          </w:tcPr>
          <w:p w:rsidR="003907EE" w:rsidRPr="00045722" w:rsidRDefault="003907EE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Нижегородской обл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сти, в том числе актов Губернатора и Правител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ства Нижегородской области, при мониторинге </w:t>
            </w:r>
            <w:proofErr w:type="spell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законодательных и иных нормативных правовых актов Российской Федерации и Нижегородской области</w:t>
            </w:r>
          </w:p>
        </w:tc>
        <w:tc>
          <w:tcPr>
            <w:tcW w:w="1215" w:type="pct"/>
          </w:tcPr>
          <w:p w:rsidR="003907EE" w:rsidRPr="00045722" w:rsidRDefault="003907E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3907EE" w:rsidRPr="00045722" w:rsidRDefault="003907EE" w:rsidP="00AF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877" w:type="pct"/>
          </w:tcPr>
          <w:p w:rsidR="003907EE" w:rsidRPr="00045722" w:rsidRDefault="003907E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Нижегородской обл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07.03.2008 № 20-З «О противоде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коррупции в Нижегородской обл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сти», постановления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Ниж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области от 10.12.2009 № 913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антико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рупционной эксперт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нормативных пр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 Губерн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proofErr w:type="gramEnd"/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Правительства Нижегородской обл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их проектов»</w:t>
            </w:r>
          </w:p>
        </w:tc>
      </w:tr>
      <w:tr w:rsidR="00A91218" w:rsidRPr="00045722" w:rsidTr="005D43DD">
        <w:tc>
          <w:tcPr>
            <w:tcW w:w="5000" w:type="pct"/>
            <w:gridSpan w:val="5"/>
          </w:tcPr>
          <w:p w:rsidR="00292E32" w:rsidRPr="00045722" w:rsidRDefault="00A91218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045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92E32" w:rsidRPr="00045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соблюдение ограничений и запретов, требований о предотвращении или ур</w:t>
            </w:r>
            <w:r w:rsidR="00292E32" w:rsidRPr="00045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292E32" w:rsidRPr="00045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гулировании конфликта интересов, а также исполнение обязанностей, установленных в целях противодействия</w:t>
            </w:r>
          </w:p>
          <w:p w:rsidR="00A91218" w:rsidRPr="00045722" w:rsidRDefault="00292E32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коррупции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A91218" w:rsidRPr="00045722" w:rsidRDefault="00292E32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для граждан, поступивших на государственную гражданскую службу Нижегородской области (д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лее – государственная служба), в 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гражданскому служащему должны быть разъясн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ны основные ограничения, запреты и обязанности, установленные Федеральным законом № 273-ФЗ и другими федеральными законами, налагаемые на него в целях противодействия коррупции, меры ответственности за совершение коррупционных правонарушений.</w:t>
            </w:r>
          </w:p>
        </w:tc>
        <w:tc>
          <w:tcPr>
            <w:tcW w:w="1215" w:type="pct"/>
          </w:tcPr>
          <w:p w:rsidR="00A91218" w:rsidRPr="00045722" w:rsidRDefault="00292E32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779" w:type="pct"/>
          </w:tcPr>
          <w:p w:rsidR="00A91218" w:rsidRPr="00045722" w:rsidRDefault="00292E32" w:rsidP="002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Не позднее 3 раб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чих дней со дня п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ступления на гос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дарственную гра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данскую службу</w:t>
            </w:r>
          </w:p>
        </w:tc>
        <w:tc>
          <w:tcPr>
            <w:tcW w:w="877" w:type="pct"/>
          </w:tcPr>
          <w:p w:rsidR="00292E32" w:rsidRPr="00045722" w:rsidRDefault="00292E32" w:rsidP="002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просвещение.</w:t>
            </w:r>
          </w:p>
          <w:p w:rsidR="00A91218" w:rsidRPr="00045722" w:rsidRDefault="00292E32" w:rsidP="0029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вопросам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антико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A91218" w:rsidRPr="00045722" w:rsidRDefault="00292E32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 министерства финансов Нижег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области, впервые поступивших на гос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гражданскую службу Нижегородской области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215" w:type="pct"/>
          </w:tcPr>
          <w:p w:rsidR="00A91218" w:rsidRPr="00045722" w:rsidRDefault="00292E32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779" w:type="pct"/>
          </w:tcPr>
          <w:p w:rsidR="00A91218" w:rsidRPr="00045722" w:rsidRDefault="00292E32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A91218" w:rsidRPr="00045722" w:rsidRDefault="001715A3" w:rsidP="006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всех гра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данских служащих, впервые поступивших на государственную гражданскую службу Нижегородской обл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6" w:type="pct"/>
          </w:tcPr>
          <w:p w:rsidR="00A91218" w:rsidRPr="00045722" w:rsidRDefault="006A5E91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 министерства финансов Нижег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входит участие в проведении закупок тов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фессиональным программам в области против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E32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  <w:tc>
          <w:tcPr>
            <w:tcW w:w="1215" w:type="pct"/>
          </w:tcPr>
          <w:p w:rsidR="00A91218" w:rsidRPr="00045722" w:rsidRDefault="006A5E91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779" w:type="pct"/>
          </w:tcPr>
          <w:p w:rsidR="00A91218" w:rsidRPr="00045722" w:rsidRDefault="006A5E91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1715A3" w:rsidRPr="00045722" w:rsidRDefault="001715A3" w:rsidP="001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</w:t>
            </w:r>
          </w:p>
          <w:p w:rsidR="00A91218" w:rsidRPr="00045722" w:rsidRDefault="001715A3" w:rsidP="001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гражданского сл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жащего органа в год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</w:tcPr>
          <w:p w:rsidR="00B83B3D" w:rsidRPr="00045722" w:rsidRDefault="00B83B3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замещающих должности гра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 службы, руководителей и работников го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учреждений  Нижегородской обл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созданных для выполнения задач, поставле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перед государственными органами:</w:t>
            </w:r>
          </w:p>
          <w:p w:rsidR="00B83B3D" w:rsidRPr="00045722" w:rsidRDefault="00B83B3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о недопущении поведения, которое может восприниматься окружающими как обещ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предложение дачи взятки, либо как согл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принять взятку, или как просьба о даче взятки</w:t>
            </w:r>
          </w:p>
          <w:p w:rsidR="00A91218" w:rsidRPr="00045722" w:rsidRDefault="00B83B3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алгоритма поведения должностных лиц при склонении к совершению коррупционных прав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215" w:type="pct"/>
          </w:tcPr>
          <w:p w:rsidR="00A91218" w:rsidRPr="00045722" w:rsidRDefault="00B83B3D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779" w:type="pct"/>
          </w:tcPr>
          <w:p w:rsidR="00A91218" w:rsidRPr="00045722" w:rsidRDefault="00B83B3D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B83B3D" w:rsidRPr="00045722" w:rsidRDefault="00B83B3D" w:rsidP="00B83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просвещение.</w:t>
            </w:r>
          </w:p>
          <w:p w:rsidR="00A91218" w:rsidRPr="00045722" w:rsidRDefault="00B83B3D" w:rsidP="00B83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вопросам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антико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</w:tcPr>
          <w:p w:rsidR="00A91218" w:rsidRPr="00045722" w:rsidRDefault="006A317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надлежащего функц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онирования комиссий по соблюдению требований к служебному поведению гражданских служащих и урегулированию конфликта интересов, образ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ванном в министерстве финансов Нижегородской области, в установленном законодательством Ро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порядке</w:t>
            </w:r>
            <w:proofErr w:type="gramEnd"/>
          </w:p>
        </w:tc>
        <w:tc>
          <w:tcPr>
            <w:tcW w:w="1215" w:type="pct"/>
          </w:tcPr>
          <w:p w:rsidR="00A91218" w:rsidRPr="00045722" w:rsidRDefault="006A317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779" w:type="pct"/>
          </w:tcPr>
          <w:p w:rsidR="00A91218" w:rsidRPr="00045722" w:rsidRDefault="006A317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6A317D" w:rsidRPr="00045722" w:rsidRDefault="006A317D" w:rsidP="000457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Указа Президента Росси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  <w:p w:rsidR="00A91218" w:rsidRPr="00045722" w:rsidRDefault="006A317D" w:rsidP="000457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01.07.2010 № 821 «О комиссии по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блюдению требований к служебному повед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и урегулир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конфликта 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тересов»</w:t>
            </w:r>
          </w:p>
        </w:tc>
      </w:tr>
      <w:tr w:rsidR="00A61F5F" w:rsidRPr="00045722" w:rsidTr="00045722">
        <w:tc>
          <w:tcPr>
            <w:tcW w:w="243" w:type="pct"/>
          </w:tcPr>
          <w:p w:rsidR="00A91218" w:rsidRPr="00045722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86" w:type="pct"/>
          </w:tcPr>
          <w:p w:rsidR="00672A5E" w:rsidRPr="00045722" w:rsidRDefault="00672A5E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представлению государственными гражда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служащими полных и достоверных свед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доходах, расходах, об имуществе и обяз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имущественного характера</w:t>
            </w:r>
          </w:p>
          <w:p w:rsidR="00A91218" w:rsidRPr="00045722" w:rsidRDefault="00A91218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A91218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672A5E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2023 года,</w:t>
            </w:r>
          </w:p>
          <w:p w:rsidR="00672A5E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2024 года</w:t>
            </w:r>
          </w:p>
          <w:p w:rsidR="00672A5E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  <w:proofErr w:type="gramEnd"/>
          </w:p>
          <w:p w:rsidR="00A91218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 приема сведений о доходах и расходах)</w:t>
            </w:r>
          </w:p>
        </w:tc>
        <w:tc>
          <w:tcPr>
            <w:tcW w:w="877" w:type="pct"/>
          </w:tcPr>
          <w:p w:rsidR="00A91218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045722" w:rsidTr="00045722">
        <w:tc>
          <w:tcPr>
            <w:tcW w:w="243" w:type="pct"/>
          </w:tcPr>
          <w:p w:rsidR="00711D28" w:rsidRPr="00045722" w:rsidRDefault="00711D2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</w:tcPr>
          <w:p w:rsidR="00711D28" w:rsidRPr="00045722" w:rsidRDefault="00711D28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приему уточненных свед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(при наличии таких сведений) о доходах, об имуществе и обязательствах имущественного х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лиц, претендующих на замещение дол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государственной гражданской службы, а также членов их семей</w:t>
            </w:r>
          </w:p>
        </w:tc>
        <w:tc>
          <w:tcPr>
            <w:tcW w:w="1215" w:type="pct"/>
          </w:tcPr>
          <w:p w:rsidR="00672A5E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  <w:p w:rsidR="00711D28" w:rsidRPr="00045722" w:rsidRDefault="00711D28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711D28" w:rsidRPr="00045722" w:rsidRDefault="00672A5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представл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сведений о 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</w:t>
            </w:r>
          </w:p>
        </w:tc>
        <w:tc>
          <w:tcPr>
            <w:tcW w:w="877" w:type="pct"/>
          </w:tcPr>
          <w:p w:rsidR="00711D28" w:rsidRPr="00045722" w:rsidRDefault="00711D28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711D28" w:rsidRPr="00045722" w:rsidRDefault="00711D28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045722" w:rsidTr="00045722">
        <w:tc>
          <w:tcPr>
            <w:tcW w:w="243" w:type="pct"/>
          </w:tcPr>
          <w:p w:rsidR="00811CF3" w:rsidRPr="00045722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6" w:type="pct"/>
          </w:tcPr>
          <w:p w:rsidR="00811CF3" w:rsidRPr="00045722" w:rsidRDefault="00811CF3" w:rsidP="00045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215" w:type="pct"/>
          </w:tcPr>
          <w:p w:rsidR="00811CF3" w:rsidRPr="00045722" w:rsidRDefault="00672A5E" w:rsidP="0004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672A5E" w:rsidRPr="00045722" w:rsidRDefault="00672A5E" w:rsidP="0004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7E1D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  <w:p w:rsidR="00811CF3" w:rsidRPr="00045722" w:rsidRDefault="00811CF3" w:rsidP="0004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811CF3" w:rsidRPr="00045722" w:rsidRDefault="00811CF3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ных и недостоверных сведений о доходах, об имуществе и обяз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тельствах имущ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</w:p>
        </w:tc>
      </w:tr>
      <w:tr w:rsidR="000F7D15" w:rsidRPr="00045722" w:rsidTr="00045722">
        <w:tc>
          <w:tcPr>
            <w:tcW w:w="243" w:type="pct"/>
          </w:tcPr>
          <w:p w:rsidR="000F7D15" w:rsidRPr="00045722" w:rsidRDefault="000F7D15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</w:tcPr>
          <w:p w:rsidR="000F7D15" w:rsidRPr="00045722" w:rsidRDefault="000F7D15" w:rsidP="00045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по профилакт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ке коррупционных правонарушений Нижегоро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ской области в проверке соблюдения руководит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лями государственных учреждений Нижегоро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ской области ограничений, установленных закон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и законод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тельством Нижегородской области, а также дост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верности и полноты сведений, представляемых лицами, претендующими на должности руковод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телей государственных учреждений Нижегоро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и руководителями государственных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Нижегородской области</w:t>
            </w:r>
            <w:proofErr w:type="gramEnd"/>
          </w:p>
        </w:tc>
        <w:tc>
          <w:tcPr>
            <w:tcW w:w="1215" w:type="pct"/>
          </w:tcPr>
          <w:p w:rsidR="000F7D15" w:rsidRPr="00045722" w:rsidRDefault="000F7D15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0F7D15" w:rsidRPr="00045722" w:rsidRDefault="000F7D15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7" w:type="pct"/>
          </w:tcPr>
          <w:p w:rsidR="000F7D15" w:rsidRPr="00045722" w:rsidRDefault="000F7D15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0F7D15" w:rsidRPr="00045722" w:rsidTr="00045722">
        <w:tc>
          <w:tcPr>
            <w:tcW w:w="243" w:type="pct"/>
          </w:tcPr>
          <w:p w:rsidR="000F7D15" w:rsidRPr="00045722" w:rsidRDefault="000F7D15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86" w:type="pct"/>
          </w:tcPr>
          <w:p w:rsidR="000F7D15" w:rsidRPr="00045722" w:rsidRDefault="000F7D15" w:rsidP="0004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 официального сайта в сети «Интернет», в котором размещаются свед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тельствах имущественного характера гиперссылки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br/>
              <w:t>на 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ми категориями граждан в период проведения сп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циальной военной операции» для последовател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ного перехода на официальный интернет-портал правовой информации (http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pravo.gov.ru/proxy/ips/?docbody=&amp;link_id=0&amp;nd=603637722).</w:t>
            </w:r>
            <w:proofErr w:type="gramEnd"/>
          </w:p>
          <w:p w:rsidR="000F7D15" w:rsidRPr="00045722" w:rsidRDefault="000F7D15" w:rsidP="00045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До издания соответствующих нормативных прав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вых актов Российской Федерации размещение св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дений на официальных сайтах органов публичной власти и организаций в сети «Интернет» и их предоставление общероссийским СМИ для опу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ликования не осуществляются.</w:t>
            </w:r>
          </w:p>
        </w:tc>
        <w:tc>
          <w:tcPr>
            <w:tcW w:w="1215" w:type="pct"/>
          </w:tcPr>
          <w:p w:rsidR="000F7D15" w:rsidRPr="00045722" w:rsidRDefault="000F7D15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технол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системной безопасности и оптимизации бюджетных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цессов, сектор государственной службы и профилактики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</w:tc>
        <w:tc>
          <w:tcPr>
            <w:tcW w:w="779" w:type="pct"/>
          </w:tcPr>
          <w:p w:rsidR="000F7D15" w:rsidRPr="00045722" w:rsidRDefault="000F7D15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15 мая 2023 года</w:t>
            </w:r>
          </w:p>
        </w:tc>
        <w:tc>
          <w:tcPr>
            <w:tcW w:w="877" w:type="pct"/>
          </w:tcPr>
          <w:p w:rsidR="000F7D15" w:rsidRPr="00045722" w:rsidRDefault="000F7D15" w:rsidP="0004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</w:t>
            </w:r>
          </w:p>
          <w:p w:rsidR="000F7D15" w:rsidRPr="00045722" w:rsidRDefault="000F7D15" w:rsidP="0004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0F7D15" w:rsidRPr="00045722" w:rsidRDefault="000F7D15" w:rsidP="0004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от 29.12.2022 № 968</w:t>
            </w:r>
          </w:p>
        </w:tc>
      </w:tr>
      <w:tr w:rsidR="00D66DE0" w:rsidRPr="00045722" w:rsidTr="00045722">
        <w:tc>
          <w:tcPr>
            <w:tcW w:w="243" w:type="pct"/>
          </w:tcPr>
          <w:p w:rsidR="00D66DE0" w:rsidRPr="00045722" w:rsidRDefault="00D66DE0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6" w:type="pct"/>
          </w:tcPr>
          <w:p w:rsidR="00D66DE0" w:rsidRPr="00045722" w:rsidRDefault="00D66DE0" w:rsidP="0004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скими служащими запрета получать в связи с 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полнением должностных обязанностей вознагра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дения от физических и юридических лиц (подарки, денежное вознаграждение, ссуды, услуги, оплату развлечений, отдыха, транспортных расходов и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вознаграждения)</w:t>
            </w:r>
          </w:p>
        </w:tc>
        <w:tc>
          <w:tcPr>
            <w:tcW w:w="1215" w:type="pct"/>
          </w:tcPr>
          <w:p w:rsidR="00D66DE0" w:rsidRPr="00045722" w:rsidRDefault="00D66DE0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D66DE0" w:rsidRPr="00045722" w:rsidRDefault="00D66DE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7" w:type="pct"/>
          </w:tcPr>
          <w:p w:rsidR="00D66DE0" w:rsidRPr="00045722" w:rsidRDefault="00D66DE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служе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ной деятельностью подчиненных сотру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D66DE0" w:rsidRPr="00045722" w:rsidTr="00045722">
        <w:tc>
          <w:tcPr>
            <w:tcW w:w="243" w:type="pct"/>
          </w:tcPr>
          <w:p w:rsidR="00D66DE0" w:rsidRPr="00045722" w:rsidRDefault="009072D1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86" w:type="pct"/>
          </w:tcPr>
          <w:p w:rsidR="009072D1" w:rsidRPr="00045722" w:rsidRDefault="009072D1" w:rsidP="0004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 рассмотрения уведомлений о фактах обращения в целях склонения гражда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ского служащего министерства финансов Нижег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родской области к совершению коррупционных правонарушений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6DE0" w:rsidRPr="00045722" w:rsidRDefault="00D66DE0" w:rsidP="0004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D66DE0" w:rsidRPr="00045722" w:rsidRDefault="009072D1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9072D1" w:rsidRPr="00045722" w:rsidRDefault="009072D1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 случае поступл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ния уведомлений</w:t>
            </w:r>
          </w:p>
          <w:p w:rsidR="009072D1" w:rsidRPr="00045722" w:rsidRDefault="009072D1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E0" w:rsidRPr="00045722" w:rsidRDefault="00D66DE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D66DE0" w:rsidRPr="00045722" w:rsidRDefault="009072D1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Выявление информ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ции, являющейся 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нованием для пров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дения проверки</w:t>
            </w:r>
          </w:p>
        </w:tc>
      </w:tr>
      <w:tr w:rsidR="009072D1" w:rsidRPr="00045722" w:rsidTr="00045722">
        <w:tc>
          <w:tcPr>
            <w:tcW w:w="243" w:type="pct"/>
          </w:tcPr>
          <w:p w:rsidR="009072D1" w:rsidRPr="00045722" w:rsidRDefault="009072D1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6" w:type="pct"/>
          </w:tcPr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анализа обращений граждан и юридических лиц о фактах коррупции и иных неправомерных действиях гражданских</w:t>
            </w:r>
            <w:r w:rsidR="00AC3597"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министерства финансов Нижегородской области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, поступающих посредством: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- личного приёма руководителем исполнительного органа (заместителем руководителя исполнител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ного органа);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- письменных обращений;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Интернет-приёмной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- телефона доверия;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- иными способами</w:t>
            </w:r>
          </w:p>
        </w:tc>
        <w:tc>
          <w:tcPr>
            <w:tcW w:w="1215" w:type="pct"/>
          </w:tcPr>
          <w:p w:rsidR="009072D1" w:rsidRPr="00045722" w:rsidRDefault="009072D1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9072D1" w:rsidRPr="00045722" w:rsidRDefault="009072D1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9072D1" w:rsidRPr="00045722" w:rsidRDefault="009072D1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Обеспечение возмо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ности для граждан и юридических лиц 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общать о фактах      коррупции. Организ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ин-формационной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в сфере противодействия     коррупции.</w:t>
            </w:r>
          </w:p>
        </w:tc>
      </w:tr>
      <w:tr w:rsidR="009072D1" w:rsidRPr="00045722" w:rsidTr="00045722">
        <w:tc>
          <w:tcPr>
            <w:tcW w:w="243" w:type="pct"/>
          </w:tcPr>
          <w:p w:rsidR="009072D1" w:rsidRPr="00045722" w:rsidRDefault="009072D1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6" w:type="pct"/>
          </w:tcPr>
          <w:p w:rsidR="00AC3597" w:rsidRPr="00045722" w:rsidRDefault="00AC3597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работы по оценке коррупционных рисков, возникающих при реал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216050"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Нижегородской о</w:t>
            </w:r>
            <w:r w:rsidR="00216050" w:rsidRPr="000457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6050" w:rsidRPr="0004572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функций. Определение по 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зультатам оценки коррупционных рисков фун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ций, при выполнении которых наиболее вероятно возникновение коррупционных правонарушений. Утверждение, актуализация перечня должностей, замещение которых связано с коррупционными рисками.</w:t>
            </w:r>
          </w:p>
          <w:p w:rsidR="00AC3597" w:rsidRPr="00045722" w:rsidRDefault="00AC3597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97" w:rsidRPr="00045722" w:rsidRDefault="00AC3597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и актуализация карты коррупцио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ных рисков, возникающих при реализации </w:t>
            </w:r>
            <w:proofErr w:type="spell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050" w:rsidRPr="00045722">
              <w:rPr>
                <w:rFonts w:ascii="Times New Roman" w:hAnsi="Times New Roman" w:cs="Times New Roman"/>
                <w:sz w:val="24"/>
                <w:szCs w:val="24"/>
              </w:rPr>
              <w:t>рупционно</w:t>
            </w:r>
            <w:proofErr w:type="spellEnd"/>
            <w:r w:rsidR="00216050"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функций.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Выработка и реал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зация мер по минимизации и (или) устранению коррупционных рисков в конкретных управленч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ских процессах</w:t>
            </w:r>
          </w:p>
          <w:p w:rsidR="009072D1" w:rsidRPr="00045722" w:rsidRDefault="009072D1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9072D1" w:rsidRPr="00045722" w:rsidRDefault="00216050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9072D1" w:rsidRPr="00045722" w:rsidRDefault="0021605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77" w:type="pct"/>
          </w:tcPr>
          <w:p w:rsidR="009072D1" w:rsidRPr="00045722" w:rsidRDefault="0021605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Минимизация (устр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нение) коррупцио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ных рисков, внесение изменений в перечни должностей с выс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кими коррупционн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ми рисками</w:t>
            </w:r>
          </w:p>
        </w:tc>
      </w:tr>
      <w:tr w:rsidR="00216050" w:rsidRPr="00045722" w:rsidTr="00045722">
        <w:tc>
          <w:tcPr>
            <w:tcW w:w="243" w:type="pct"/>
          </w:tcPr>
          <w:p w:rsidR="00216050" w:rsidRPr="00045722" w:rsidRDefault="00E51176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216050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216050" w:rsidRPr="00045722" w:rsidRDefault="00216050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результатов 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боты с обращениями граждан и юридических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возни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новению данных обращений</w:t>
            </w:r>
          </w:p>
        </w:tc>
        <w:tc>
          <w:tcPr>
            <w:tcW w:w="1215" w:type="pct"/>
          </w:tcPr>
          <w:p w:rsidR="00216050" w:rsidRPr="00045722" w:rsidRDefault="00216050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правонарушений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779" w:type="pct"/>
          </w:tcPr>
          <w:p w:rsidR="00216050" w:rsidRPr="00045722" w:rsidRDefault="00216050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216050" w:rsidRPr="00045722" w:rsidRDefault="00EE16FB" w:rsidP="00045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работы с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ращениями граждан и юридических лиц,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сведения о фактах коррупции</w:t>
            </w:r>
          </w:p>
        </w:tc>
      </w:tr>
      <w:tr w:rsidR="00EE16FB" w:rsidRPr="00045722" w:rsidTr="00045722">
        <w:tc>
          <w:tcPr>
            <w:tcW w:w="243" w:type="pct"/>
          </w:tcPr>
          <w:p w:rsidR="00EE16FB" w:rsidRPr="00045722" w:rsidRDefault="00E51176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16FB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по вопросам противодействия коррупции:</w:t>
            </w:r>
          </w:p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независимых экспертов в составы 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</w:t>
            </w:r>
          </w:p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совещаний, круглых столов с пре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общественных организаций;</w:t>
            </w:r>
          </w:p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вынесение на общественное обсуждение прое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нормативных правовых актов министерства финансов;</w:t>
            </w:r>
          </w:p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 участием общественных организ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комплекса организационных, разъяснител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иных мер по соблюдению государственн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гражданскими служащими запретов, огранич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требований, установленных в целях прот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коррупции</w:t>
            </w:r>
          </w:p>
        </w:tc>
        <w:tc>
          <w:tcPr>
            <w:tcW w:w="1215" w:type="pct"/>
          </w:tcPr>
          <w:p w:rsidR="00EE16FB" w:rsidRPr="00045722" w:rsidRDefault="00EE16FB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79" w:type="pct"/>
          </w:tcPr>
          <w:p w:rsidR="00EE16FB" w:rsidRPr="00045722" w:rsidRDefault="00EE16FB" w:rsidP="0004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мин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финансов.</w:t>
            </w:r>
          </w:p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proofErr w:type="spell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6FB" w:rsidRPr="00045722" w:rsidRDefault="00EE16FB" w:rsidP="0004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</w:t>
            </w:r>
          </w:p>
        </w:tc>
      </w:tr>
      <w:tr w:rsidR="00EE16FB" w:rsidRPr="00045722" w:rsidTr="00045722">
        <w:tc>
          <w:tcPr>
            <w:tcW w:w="243" w:type="pct"/>
          </w:tcPr>
          <w:p w:rsidR="00EE16FB" w:rsidRPr="00045722" w:rsidRDefault="00E51176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E16FB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EE16FB" w:rsidRPr="00045722" w:rsidRDefault="00EE16FB" w:rsidP="00045722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общественного совета при министерстве, финансов в цели и задачи которого, в том числе, входят вопросы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  <w:p w:rsidR="00EE16FB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E16FB" w:rsidRPr="00045722" w:rsidRDefault="00EE16FB" w:rsidP="00045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бюджетной пол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рупционных правонарушений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779" w:type="pct"/>
          </w:tcPr>
          <w:p w:rsidR="00EE16FB" w:rsidRPr="00045722" w:rsidRDefault="00EE16FB" w:rsidP="00045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877" w:type="pct"/>
          </w:tcPr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онирования 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ственного совета при министерстве фина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</w:t>
            </w:r>
          </w:p>
        </w:tc>
      </w:tr>
      <w:tr w:rsidR="00811CF3" w:rsidRPr="00045722" w:rsidTr="005D43DD">
        <w:tc>
          <w:tcPr>
            <w:tcW w:w="5000" w:type="pct"/>
            <w:gridSpan w:val="5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216050" w:rsidRPr="0004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16050" w:rsidRPr="0004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A61F5F" w:rsidRPr="00045722" w:rsidTr="00045722">
        <w:tc>
          <w:tcPr>
            <w:tcW w:w="243" w:type="pct"/>
          </w:tcPr>
          <w:p w:rsidR="00811CF3" w:rsidRPr="00045722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811CF3" w:rsidRPr="00045722" w:rsidRDefault="00EE16FB" w:rsidP="00045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в сфере предотвращ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ния коррупции при размещении государственных заказов по закупкам и поставкам продукции для нужд государственных учреждений, подведо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ственных органу,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нужд»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br/>
              <w:t>(с последующими изменениями)</w:t>
            </w:r>
          </w:p>
        </w:tc>
        <w:tc>
          <w:tcPr>
            <w:tcW w:w="1215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отдел хозяйственного обеспечения управления делами</w:t>
            </w:r>
          </w:p>
        </w:tc>
        <w:tc>
          <w:tcPr>
            <w:tcW w:w="779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 случаев конфликта интересов в сфере реализации Федерального закона</w:t>
            </w:r>
          </w:p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05.04.2013 № 44-ФЗ</w:t>
            </w:r>
          </w:p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 товаров, работ, услуг для обеспечения гос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мун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нужд» (с последующими изм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нениями)</w:t>
            </w:r>
          </w:p>
        </w:tc>
      </w:tr>
      <w:tr w:rsidR="00A61F5F" w:rsidRPr="00045722" w:rsidTr="00045722">
        <w:tc>
          <w:tcPr>
            <w:tcW w:w="243" w:type="pct"/>
          </w:tcPr>
          <w:p w:rsidR="00811CF3" w:rsidRPr="00045722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811CF3" w:rsidRPr="00045722" w:rsidRDefault="00EE16FB" w:rsidP="00045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управление по профилактике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Нижегородской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информации о правонарушениях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характера, выявляемых в ходе реализации на территории Нижегородской области наци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федеральных и региональных проектов</w:t>
            </w:r>
          </w:p>
        </w:tc>
        <w:tc>
          <w:tcPr>
            <w:tcW w:w="1215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отдел хозяйственного обеспечения управления делами</w:t>
            </w:r>
          </w:p>
        </w:tc>
        <w:tc>
          <w:tcPr>
            <w:tcW w:w="779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правонарушений коррупционного характера</w:t>
            </w:r>
          </w:p>
        </w:tc>
        <w:tc>
          <w:tcPr>
            <w:tcW w:w="877" w:type="pct"/>
          </w:tcPr>
          <w:p w:rsidR="00EE16FB" w:rsidRPr="00045722" w:rsidRDefault="00EE16FB" w:rsidP="0004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Обеспечение искл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чения (минимизации) коррупционных ри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ков при реализации национальных, фед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ральных и регионал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  <w:p w:rsidR="00811CF3" w:rsidRPr="00045722" w:rsidRDefault="00811CF3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045722" w:rsidTr="00045722">
        <w:tc>
          <w:tcPr>
            <w:tcW w:w="243" w:type="pct"/>
          </w:tcPr>
          <w:p w:rsidR="00811CF3" w:rsidRPr="00045722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</w:tcPr>
          <w:p w:rsidR="00811CF3" w:rsidRPr="00045722" w:rsidRDefault="00EE16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информации об участн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государственных закупок (в том числе в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национальных проектов) на пре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 установления их аффилированных связей с конкретными государственными служащими, в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членами комиссий по осуществлению закупок, и направление информации о результатах проведенной работы в управление по профилакт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коррупционных правонарушений Нижегоро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15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государственных закупок, сектор государстве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службы и профилактики коррупционных </w:t>
            </w:r>
            <w:r w:rsidR="007E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управления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779" w:type="pct"/>
          </w:tcPr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запроса</w:t>
            </w:r>
          </w:p>
        </w:tc>
        <w:tc>
          <w:tcPr>
            <w:tcW w:w="877" w:type="pct"/>
          </w:tcPr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искл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(минимизации) коррупционных ри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при реализации Федерального закона</w:t>
            </w:r>
          </w:p>
          <w:p w:rsidR="00EE16FB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05.04.2013 № 44-ФЗ</w:t>
            </w:r>
          </w:p>
          <w:p w:rsidR="00811CF3" w:rsidRPr="00045722" w:rsidRDefault="00EE16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 в сфере закупок товаров, работ, услуг для обеспечения гос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мун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нужд»</w:t>
            </w:r>
          </w:p>
        </w:tc>
      </w:tr>
      <w:tr w:rsidR="00A61F5F" w:rsidRPr="00045722" w:rsidTr="00045722">
        <w:tc>
          <w:tcPr>
            <w:tcW w:w="243" w:type="pct"/>
          </w:tcPr>
          <w:p w:rsidR="00811CF3" w:rsidRPr="00045722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6" w:type="pct"/>
          </w:tcPr>
          <w:p w:rsidR="00811CF3" w:rsidRPr="00045722" w:rsidRDefault="00C518EE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исключению случаев,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водящих к конфликту интересов, при назначении работников контрактных служб (контрактных управляющих), создании комиссий по осущест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закупок</w:t>
            </w:r>
          </w:p>
        </w:tc>
        <w:tc>
          <w:tcPr>
            <w:tcW w:w="1215" w:type="pct"/>
          </w:tcPr>
          <w:p w:rsidR="00811CF3" w:rsidRPr="00045722" w:rsidRDefault="00C518EE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закупок, сектор государстве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 и профилактики коррупционных правонаруш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управления делами</w:t>
            </w:r>
          </w:p>
        </w:tc>
        <w:tc>
          <w:tcPr>
            <w:tcW w:w="779" w:type="pct"/>
          </w:tcPr>
          <w:p w:rsidR="00811CF3" w:rsidRPr="00045722" w:rsidRDefault="00C518E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7" w:type="pct"/>
          </w:tcPr>
          <w:p w:rsidR="00811CF3" w:rsidRPr="00045722" w:rsidRDefault="00C518EE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искл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(минимизации) коррупционных ри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C8622B" w:rsidRPr="00045722" w:rsidTr="005D43DD">
        <w:tc>
          <w:tcPr>
            <w:tcW w:w="5000" w:type="pct"/>
            <w:gridSpan w:val="5"/>
          </w:tcPr>
          <w:p w:rsidR="00C8453F" w:rsidRPr="007E1DC0" w:rsidRDefault="00D33B52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8622B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Обеспечение мер по предупреждению коррупции в ГКУ</w:t>
            </w:r>
            <w:r w:rsidR="00C8453F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</w:t>
            </w:r>
            <w:r w:rsidR="00C8622B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C8622B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 w:rsidR="00C8453F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обслуживания</w:t>
            </w:r>
            <w:r w:rsidR="00C8622B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получателей бюджетных средств»</w:t>
            </w:r>
            <w:r w:rsidR="004001A3"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учредителем которого является министерство финансов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представлению лицом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дол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руководителя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</w:t>
            </w:r>
            <w:r w:rsidR="00B46A07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полных и достоверных сведений о доходах, об имуществе и обязательствах имущественного х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1215" w:type="pct"/>
          </w:tcPr>
          <w:p w:rsidR="00C8622B" w:rsidRPr="00045722" w:rsidRDefault="007E1DC0" w:rsidP="00B4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779" w:type="pct"/>
          </w:tcPr>
          <w:p w:rsidR="007E1DC0" w:rsidRPr="00045722" w:rsidRDefault="007E1DC0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E1DC0" w:rsidRDefault="007E1DC0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представлению гражданами, прете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ндующими на замещение должности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госуда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полных и достоверных сведений о доходах, об имуществе и обязател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</w:t>
            </w:r>
          </w:p>
        </w:tc>
        <w:tc>
          <w:tcPr>
            <w:tcW w:w="1215" w:type="pct"/>
          </w:tcPr>
          <w:p w:rsidR="00C8622B" w:rsidRPr="00045722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779" w:type="pct"/>
          </w:tcPr>
          <w:p w:rsidR="007E1DC0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при заполн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справок о доходах, об имуществе и обязател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 гражданам,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тендующим на за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должности руководит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учреждения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лицам, зам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данную должность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(проведение перс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нальных консультаций, семинаров, круглых ст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лов)</w:t>
            </w:r>
          </w:p>
        </w:tc>
        <w:tc>
          <w:tcPr>
            <w:tcW w:w="1215" w:type="pct"/>
          </w:tcPr>
          <w:p w:rsidR="007E1DC0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8622B" w:rsidRPr="00045722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C8622B" w:rsidRPr="00045722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данами, претенду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на замещение должностей руков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госуда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учреждений,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лицами, замеща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данные дол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полных и 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стоверных сведений о доходах, об имущ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 обязательствах имущественного х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об им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 и обязательствах имущественного характ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граждан, прет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ендующих на замещение должн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руководителя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учреждения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лиц, замещающ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данную должность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членов их семей в целях выявления возможных нарушений действующего законодательства</w:t>
            </w:r>
          </w:p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C8622B" w:rsidRPr="00045722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779" w:type="pct"/>
          </w:tcPr>
          <w:p w:rsidR="007E1DC0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предоставлению нед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стоверных и (или) 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сведений о доходах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доходах, об имуществе и обязательствах имущ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характера руководителя ГКУ </w:t>
            </w:r>
            <w:r w:rsidR="00596DD3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«Центр обслуживания получателей бюджетных средств»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членов его семьи на официал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министерства финансов</w:t>
            </w:r>
          </w:p>
        </w:tc>
        <w:tc>
          <w:tcPr>
            <w:tcW w:w="1215" w:type="pct"/>
          </w:tcPr>
          <w:p w:rsidR="007E1DC0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технол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системной безопасности и оптимизации бюджетных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цессов, сектор государственной службы и профилактики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  <w:p w:rsidR="00C8622B" w:rsidRPr="00045722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C8622B" w:rsidRPr="00045722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дней со дня 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течения срока установленного для подачи сведений о доходах</w:t>
            </w:r>
          </w:p>
        </w:tc>
        <w:tc>
          <w:tcPr>
            <w:tcW w:w="877" w:type="pct"/>
          </w:tcPr>
          <w:p w:rsidR="00C8622B" w:rsidRPr="00045722" w:rsidRDefault="00C8622B" w:rsidP="000457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 613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приему уточненных свед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(при наличии таких сведений) о доходах, об имуществе и обязательствах имущес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х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руководителя государственного учрежд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чле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его семьи</w:t>
            </w:r>
          </w:p>
        </w:tc>
        <w:tc>
          <w:tcPr>
            <w:tcW w:w="1215" w:type="pct"/>
          </w:tcPr>
          <w:p w:rsidR="007E1DC0" w:rsidRDefault="007E1DC0" w:rsidP="00C0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C8622B" w:rsidRPr="00045722" w:rsidRDefault="00C8622B" w:rsidP="00D3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7E1DC0" w:rsidRPr="00045722" w:rsidRDefault="007E1DC0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8622B" w:rsidRPr="00045722" w:rsidRDefault="007E1DC0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мая</w:t>
            </w:r>
          </w:p>
        </w:tc>
        <w:tc>
          <w:tcPr>
            <w:tcW w:w="877" w:type="pct"/>
            <w:vMerge w:val="restart"/>
            <w:vAlign w:val="center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приему уточненных свед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(при наличии таких сведений) о доходах, об имуществе и обязательствах имущественного х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граждан, прет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ендующих на замещение 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государственного учр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ждения, а также членов его семьи</w:t>
            </w:r>
          </w:p>
        </w:tc>
        <w:tc>
          <w:tcPr>
            <w:tcW w:w="1215" w:type="pct"/>
          </w:tcPr>
          <w:p w:rsidR="00C8622B" w:rsidRPr="00045722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779" w:type="pct"/>
          </w:tcPr>
          <w:p w:rsidR="007E1DC0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представл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сведений о 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ходах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</w:tcPr>
          <w:p w:rsidR="00C8622B" w:rsidRPr="00045722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 доходах, об имуществе и обязательствах имущественного х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представляемых гражданами, претенд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на замеще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должности руководителя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лицами, замещ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данные должности</w:t>
            </w:r>
          </w:p>
        </w:tc>
        <w:tc>
          <w:tcPr>
            <w:tcW w:w="1215" w:type="pct"/>
          </w:tcPr>
          <w:p w:rsidR="00C8622B" w:rsidRPr="00045722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</w:tc>
        <w:tc>
          <w:tcPr>
            <w:tcW w:w="779" w:type="pct"/>
          </w:tcPr>
          <w:p w:rsidR="007E1DC0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недостоверных сведений о доходах, об имуществе и обяз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045722" w:rsidTr="00045722">
        <w:tc>
          <w:tcPr>
            <w:tcW w:w="243" w:type="pct"/>
          </w:tcPr>
          <w:p w:rsidR="00C8622B" w:rsidRPr="00045722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6" w:type="pct"/>
          </w:tcPr>
          <w:p w:rsidR="00C8622B" w:rsidRPr="00045722" w:rsidRDefault="00C8622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юридической, методической и консул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тационной помощи подведом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госуда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042A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ственному учреждению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реализ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статьи 13.3 Федерального закона от 25.12.2008 № 273-ФЗ «О противодействии коррупции» и ст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12.3 Закона Нижегородской области от 07.03.2008 № 20-З «О противодействии коррупции в Нижего</w:t>
            </w:r>
            <w:bookmarkStart w:id="0" w:name="_GoBack"/>
            <w:bookmarkEnd w:id="0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области»</w:t>
            </w:r>
          </w:p>
        </w:tc>
        <w:tc>
          <w:tcPr>
            <w:tcW w:w="1215" w:type="pct"/>
          </w:tcPr>
          <w:p w:rsidR="007E1DC0" w:rsidRDefault="007E1DC0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правого обеспечения и сектор государственной службы и профилактики коррупцио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правонарушений управл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делами</w:t>
            </w:r>
          </w:p>
          <w:p w:rsidR="00C8622B" w:rsidRPr="00045722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C8622B" w:rsidRPr="00045722" w:rsidRDefault="007E1DC0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C8622B" w:rsidRPr="00045722" w:rsidRDefault="00C8622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дательства. Сове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работы по противодействию коррупции в подв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госуда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учрежден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C97AFB" w:rsidRPr="00045722" w:rsidTr="005D43DD">
        <w:tc>
          <w:tcPr>
            <w:tcW w:w="5000" w:type="pct"/>
            <w:gridSpan w:val="5"/>
          </w:tcPr>
          <w:p w:rsidR="00C97AFB" w:rsidRPr="007E1DC0" w:rsidRDefault="00C97AFB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обращений граждан и юрид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лиц о фактах коррупции и иных неправ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мерных действиях государственных гражданских служащих министерства финансов, поступающих посредством: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приёма руководителем министерства финансов (заместителями руководителя министе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финансов;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«Горячей телефонной линии» министерства ф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 обращений;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Интернет-приёмной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официальном сайте м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финансов.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граждан и юридических лиц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 о фактах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рупции. Организация информационной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крытости в сфере 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анализа результатов 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обращениями граждан и юридических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возни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новению данных обращений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работы с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ращениями граждан и юридических лиц, с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сведения о фактах коррупции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социологических исслед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отношения к коррупции среди госуда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гражданских служащих министерства финансов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коррумпированных сфер и оценка эффе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антикорру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работы и принятие необход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мер по соверше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работы по противодействию коррупции на основ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данных социол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исследов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по вопросам противодействия коррупции: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независимых экспертов в составы 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совещаний, круглых столов с пре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общественных организаций;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вынесение на общественное обсуждение прое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нормативных правовых актов министерства финансов;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 участием общественных организ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комплекса организационных, разъяснител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иных мер по соблюдению государственн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гражданскими служащими запретов, огранич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и требований, установленных в целях прот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коррупции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мин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финансов.</w:t>
            </w:r>
          </w:p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proofErr w:type="spell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общественного совета при министерстве, финансов в цели и задачи которого, в том числе, входят вопросы противодействия коррупции</w:t>
            </w:r>
          </w:p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бюджетной пол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онирования общ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совета при министерстве фина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5D43DD" w:rsidRPr="00045722" w:rsidTr="0004572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членов общественного совета при министерстве финансов к антикоррупционной 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бюджетной пол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сектор государственной службы и профилактики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 управления делами</w:t>
            </w:r>
          </w:p>
          <w:p w:rsidR="00C97AFB" w:rsidRPr="00045722" w:rsidRDefault="00C97AFB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FB" w:rsidRPr="00045722" w:rsidRDefault="00C97AFB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</w:t>
            </w:r>
          </w:p>
        </w:tc>
      </w:tr>
      <w:tr w:rsidR="005D43DD" w:rsidRPr="00045722" w:rsidTr="005D43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D" w:rsidRPr="007E1DC0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Организационные мероприятия по противодействию коррупции</w:t>
            </w: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наполнения сп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циализированного раздела официального сайта министерства финансов «Противодействие ко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 по вопросам реализации антикоррупц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и поддержание его в актуальном состоянии</w:t>
            </w:r>
          </w:p>
        </w:tc>
        <w:tc>
          <w:tcPr>
            <w:tcW w:w="1215" w:type="pct"/>
          </w:tcPr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vMerge w:val="restart"/>
            <w:vAlign w:val="center"/>
          </w:tcPr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мационной открыт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против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 на официальном сайте министерства финансов 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деятельности в сфере противодействия коррупции</w:t>
            </w:r>
          </w:p>
        </w:tc>
        <w:tc>
          <w:tcPr>
            <w:tcW w:w="1215" w:type="pct"/>
          </w:tcPr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процессов,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межбюджетных отнош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vMerge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наиболее ярких фактов коррупционных проявл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принятых мерах реагирования, в том числе предание гласности случаев несоблюдения треб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о предотвращении или об урегулировании конфликта интересов</w:t>
            </w:r>
          </w:p>
        </w:tc>
        <w:tc>
          <w:tcPr>
            <w:tcW w:w="1215" w:type="pct"/>
          </w:tcPr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управление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технологий системной безопасности и оптимизации бюджетных процессов,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межбюджетных отнош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vMerge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актуализация информации по вопросу противодействия коррупции, размещаемой на стенде в здании министерства финансов</w:t>
            </w:r>
          </w:p>
        </w:tc>
        <w:tc>
          <w:tcPr>
            <w:tcW w:w="1215" w:type="pct"/>
          </w:tcPr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5D43DD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  <w:vMerge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DD" w:rsidRPr="00045722" w:rsidTr="005D43DD">
        <w:tc>
          <w:tcPr>
            <w:tcW w:w="5000" w:type="pct"/>
            <w:gridSpan w:val="5"/>
          </w:tcPr>
          <w:p w:rsidR="005D43DD" w:rsidRPr="007E1DC0" w:rsidRDefault="005D43DD" w:rsidP="007E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04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министерстве финансов 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работы, направленной на выявление личной заинтерес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ванности государственных гражданских служащих при осуществлении закупок в соответствии с ф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деральным законом «О контрактной системе в сфере закупок товаров, работ, услуг для обеспеч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государственных и муниципальных нужд», </w:t>
            </w:r>
            <w:proofErr w:type="gramStart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04572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ту интересов</w:t>
            </w:r>
          </w:p>
        </w:tc>
        <w:tc>
          <w:tcPr>
            <w:tcW w:w="1215" w:type="pct"/>
          </w:tcPr>
          <w:p w:rsidR="005D43DD" w:rsidRPr="00045722" w:rsidRDefault="00045722" w:rsidP="005D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закупок управления государственных закупок</w:t>
            </w:r>
          </w:p>
        </w:tc>
        <w:tc>
          <w:tcPr>
            <w:tcW w:w="779" w:type="pct"/>
          </w:tcPr>
          <w:p w:rsidR="005D43DD" w:rsidRPr="00045722" w:rsidRDefault="00045722" w:rsidP="0004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5D43DD" w:rsidRPr="00045722" w:rsidRDefault="005D43DD" w:rsidP="00045722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Выявление и миним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зация коррупционных рисков при осущест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лении закупок тов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722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</w:tr>
      <w:tr w:rsidR="005D43DD" w:rsidRPr="00045722" w:rsidTr="00045722">
        <w:trPr>
          <w:trHeight w:val="1995"/>
        </w:trPr>
        <w:tc>
          <w:tcPr>
            <w:tcW w:w="243" w:type="pct"/>
          </w:tcPr>
          <w:p w:rsidR="005D43DD" w:rsidRPr="00045722" w:rsidRDefault="00E51176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3DD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приема, хранения, оценки и реализ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(выкупа) подарков, полученных 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гражданскими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в связи с прот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мероприятиями, служебными команд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ровками и другими официальными мероприятиями</w:t>
            </w:r>
          </w:p>
        </w:tc>
        <w:tc>
          <w:tcPr>
            <w:tcW w:w="1215" w:type="pct"/>
          </w:tcPr>
          <w:p w:rsidR="00045722" w:rsidRPr="00045722" w:rsidRDefault="00045722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и отдел хозяйственного обеспечения управления делами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045722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дательно установле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обязанности для гражданских служ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 сдаче пода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E51176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43DD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государственными,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муниципальными, правоохранительными и друг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органами по вопросам борьбы с коррупцией</w:t>
            </w:r>
          </w:p>
        </w:tc>
        <w:tc>
          <w:tcPr>
            <w:tcW w:w="1215" w:type="pct"/>
          </w:tcPr>
          <w:p w:rsidR="00045722" w:rsidRPr="00045722" w:rsidRDefault="00045722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 и ф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нансово-экономический отдел управления делами</w:t>
            </w:r>
          </w:p>
          <w:p w:rsidR="005D43DD" w:rsidRPr="00045722" w:rsidRDefault="005D43DD" w:rsidP="005D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:rsidR="005D43DD" w:rsidRPr="00045722" w:rsidRDefault="00045722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плана</w:t>
            </w:r>
          </w:p>
        </w:tc>
        <w:tc>
          <w:tcPr>
            <w:tcW w:w="877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тивного обмена 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 по вопр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 среди 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государстве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</w:t>
            </w:r>
          </w:p>
        </w:tc>
      </w:tr>
      <w:tr w:rsidR="005D43DD" w:rsidRPr="00045722" w:rsidTr="00045722">
        <w:tc>
          <w:tcPr>
            <w:tcW w:w="243" w:type="pct"/>
          </w:tcPr>
          <w:p w:rsidR="005D43DD" w:rsidRPr="00045722" w:rsidRDefault="00E51176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D43DD"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pct"/>
          </w:tcPr>
          <w:p w:rsidR="005D43DD" w:rsidRPr="00045722" w:rsidRDefault="005D43DD" w:rsidP="0004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плана и представление руководителю мин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финансов сводного отчета о ходе его ре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и предложений, касающихся соверше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 деятельности по противодействию ко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рупции в министерстве финансов</w:t>
            </w:r>
          </w:p>
        </w:tc>
        <w:tc>
          <w:tcPr>
            <w:tcW w:w="1215" w:type="pct"/>
          </w:tcPr>
          <w:p w:rsidR="005D43DD" w:rsidRPr="00045722" w:rsidRDefault="00045722" w:rsidP="0004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государственной слу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 профилактики коррупц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правонарушений упра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делами, управляющий делами министерства</w:t>
            </w:r>
          </w:p>
        </w:tc>
        <w:tc>
          <w:tcPr>
            <w:tcW w:w="779" w:type="pct"/>
          </w:tcPr>
          <w:p w:rsidR="005D43DD" w:rsidRPr="00045722" w:rsidRDefault="00045722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877" w:type="pct"/>
          </w:tcPr>
          <w:p w:rsidR="005D43DD" w:rsidRPr="00045722" w:rsidRDefault="005D43DD" w:rsidP="005D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мероприятий, предусмотренных настоящим планом</w:t>
            </w:r>
          </w:p>
        </w:tc>
      </w:tr>
    </w:tbl>
    <w:p w:rsidR="005D43DD" w:rsidRPr="00045722" w:rsidRDefault="005D43DD" w:rsidP="005D4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DD" w:rsidRPr="00045722" w:rsidRDefault="005D43DD" w:rsidP="005D43DD">
      <w:pPr>
        <w:rPr>
          <w:rFonts w:ascii="Times New Roman" w:hAnsi="Times New Roman" w:cs="Times New Roman"/>
          <w:sz w:val="24"/>
          <w:szCs w:val="24"/>
        </w:rPr>
      </w:pPr>
    </w:p>
    <w:p w:rsidR="0051004E" w:rsidRPr="00045722" w:rsidRDefault="0051004E">
      <w:pPr>
        <w:rPr>
          <w:rFonts w:ascii="Times New Roman" w:hAnsi="Times New Roman" w:cs="Times New Roman"/>
          <w:sz w:val="24"/>
          <w:szCs w:val="24"/>
        </w:rPr>
      </w:pPr>
    </w:p>
    <w:sectPr w:rsidR="0051004E" w:rsidRPr="00045722" w:rsidSect="00AD6302">
      <w:headerReference w:type="default" r:id="rId9"/>
      <w:pgSz w:w="16838" w:h="11906" w:orient="landscape"/>
      <w:pgMar w:top="70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48" w:rsidRDefault="00D60248" w:rsidP="00E45CBE">
      <w:pPr>
        <w:spacing w:after="0" w:line="240" w:lineRule="auto"/>
      </w:pPr>
      <w:r>
        <w:separator/>
      </w:r>
    </w:p>
  </w:endnote>
  <w:endnote w:type="continuationSeparator" w:id="0">
    <w:p w:rsidR="00D60248" w:rsidRDefault="00D60248" w:rsidP="00E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48" w:rsidRDefault="00D60248" w:rsidP="00E45CBE">
      <w:pPr>
        <w:spacing w:after="0" w:line="240" w:lineRule="auto"/>
      </w:pPr>
      <w:r>
        <w:separator/>
      </w:r>
    </w:p>
  </w:footnote>
  <w:footnote w:type="continuationSeparator" w:id="0">
    <w:p w:rsidR="00D60248" w:rsidRDefault="00D60248" w:rsidP="00E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2" w:rsidRDefault="00045722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03628"/>
    <w:rsid w:val="0001009D"/>
    <w:rsid w:val="00020B3C"/>
    <w:rsid w:val="00021333"/>
    <w:rsid w:val="000274F7"/>
    <w:rsid w:val="00045722"/>
    <w:rsid w:val="00045BC7"/>
    <w:rsid w:val="0006508A"/>
    <w:rsid w:val="00073735"/>
    <w:rsid w:val="00087B2B"/>
    <w:rsid w:val="000931AA"/>
    <w:rsid w:val="00095797"/>
    <w:rsid w:val="000A0C4D"/>
    <w:rsid w:val="000A6AD2"/>
    <w:rsid w:val="000C432F"/>
    <w:rsid w:val="000C5B2A"/>
    <w:rsid w:val="000D57F8"/>
    <w:rsid w:val="000D5A10"/>
    <w:rsid w:val="000F7D15"/>
    <w:rsid w:val="001027E2"/>
    <w:rsid w:val="0011264B"/>
    <w:rsid w:val="00123D5E"/>
    <w:rsid w:val="00131EC6"/>
    <w:rsid w:val="00133BDB"/>
    <w:rsid w:val="00147B98"/>
    <w:rsid w:val="00151435"/>
    <w:rsid w:val="001715A3"/>
    <w:rsid w:val="001852FB"/>
    <w:rsid w:val="00185F62"/>
    <w:rsid w:val="00194B08"/>
    <w:rsid w:val="00194BB8"/>
    <w:rsid w:val="001A6706"/>
    <w:rsid w:val="001B0685"/>
    <w:rsid w:val="001C0C63"/>
    <w:rsid w:val="001C4135"/>
    <w:rsid w:val="001D789C"/>
    <w:rsid w:val="001F3FE5"/>
    <w:rsid w:val="001F6561"/>
    <w:rsid w:val="002123C8"/>
    <w:rsid w:val="00216050"/>
    <w:rsid w:val="00220A7B"/>
    <w:rsid w:val="0022189C"/>
    <w:rsid w:val="00226B12"/>
    <w:rsid w:val="002364DA"/>
    <w:rsid w:val="002521ED"/>
    <w:rsid w:val="00261703"/>
    <w:rsid w:val="0026553E"/>
    <w:rsid w:val="002732BA"/>
    <w:rsid w:val="00273DC9"/>
    <w:rsid w:val="00274F35"/>
    <w:rsid w:val="00292E32"/>
    <w:rsid w:val="002A06C0"/>
    <w:rsid w:val="002A1B66"/>
    <w:rsid w:val="002B464C"/>
    <w:rsid w:val="002C03DD"/>
    <w:rsid w:val="002F10DC"/>
    <w:rsid w:val="002F5F05"/>
    <w:rsid w:val="00310FFE"/>
    <w:rsid w:val="003225C3"/>
    <w:rsid w:val="0032418C"/>
    <w:rsid w:val="00337591"/>
    <w:rsid w:val="0034709E"/>
    <w:rsid w:val="00355030"/>
    <w:rsid w:val="00380AAF"/>
    <w:rsid w:val="00381B71"/>
    <w:rsid w:val="00385DFE"/>
    <w:rsid w:val="00386A7B"/>
    <w:rsid w:val="003907EE"/>
    <w:rsid w:val="003B169A"/>
    <w:rsid w:val="003C1A88"/>
    <w:rsid w:val="003D2F13"/>
    <w:rsid w:val="003D35F1"/>
    <w:rsid w:val="004001A3"/>
    <w:rsid w:val="004045E6"/>
    <w:rsid w:val="00415A26"/>
    <w:rsid w:val="00416EC3"/>
    <w:rsid w:val="004177B1"/>
    <w:rsid w:val="0043554E"/>
    <w:rsid w:val="004544A6"/>
    <w:rsid w:val="00465613"/>
    <w:rsid w:val="004728B2"/>
    <w:rsid w:val="00485CED"/>
    <w:rsid w:val="004861CE"/>
    <w:rsid w:val="004A52E6"/>
    <w:rsid w:val="004B347A"/>
    <w:rsid w:val="004B55F4"/>
    <w:rsid w:val="004C6EA8"/>
    <w:rsid w:val="004E7F79"/>
    <w:rsid w:val="004F296C"/>
    <w:rsid w:val="00501E8B"/>
    <w:rsid w:val="00505F6A"/>
    <w:rsid w:val="00506EA1"/>
    <w:rsid w:val="0050725F"/>
    <w:rsid w:val="0051004E"/>
    <w:rsid w:val="0051362F"/>
    <w:rsid w:val="00514582"/>
    <w:rsid w:val="00516592"/>
    <w:rsid w:val="00520520"/>
    <w:rsid w:val="0052124D"/>
    <w:rsid w:val="0052695B"/>
    <w:rsid w:val="00564697"/>
    <w:rsid w:val="00570AE8"/>
    <w:rsid w:val="00570E52"/>
    <w:rsid w:val="005713D5"/>
    <w:rsid w:val="005746C4"/>
    <w:rsid w:val="0058008F"/>
    <w:rsid w:val="00595788"/>
    <w:rsid w:val="00596DD3"/>
    <w:rsid w:val="005C3DE3"/>
    <w:rsid w:val="005D43DD"/>
    <w:rsid w:val="005D6D39"/>
    <w:rsid w:val="00611FBE"/>
    <w:rsid w:val="006143DF"/>
    <w:rsid w:val="00620166"/>
    <w:rsid w:val="006319DB"/>
    <w:rsid w:val="00642825"/>
    <w:rsid w:val="00646814"/>
    <w:rsid w:val="00657A4B"/>
    <w:rsid w:val="0066584C"/>
    <w:rsid w:val="0066618B"/>
    <w:rsid w:val="006721BD"/>
    <w:rsid w:val="00672A5E"/>
    <w:rsid w:val="0067569B"/>
    <w:rsid w:val="006860AC"/>
    <w:rsid w:val="006903B3"/>
    <w:rsid w:val="00694C06"/>
    <w:rsid w:val="006A317D"/>
    <w:rsid w:val="006A5E91"/>
    <w:rsid w:val="006D06AD"/>
    <w:rsid w:val="006D6FC2"/>
    <w:rsid w:val="006E2E3E"/>
    <w:rsid w:val="00711D28"/>
    <w:rsid w:val="00720DFB"/>
    <w:rsid w:val="0072316E"/>
    <w:rsid w:val="00730491"/>
    <w:rsid w:val="00743E7D"/>
    <w:rsid w:val="00772EFF"/>
    <w:rsid w:val="0077350C"/>
    <w:rsid w:val="00777B0E"/>
    <w:rsid w:val="007802AE"/>
    <w:rsid w:val="00784EEA"/>
    <w:rsid w:val="00791A03"/>
    <w:rsid w:val="007A0C7F"/>
    <w:rsid w:val="007A6678"/>
    <w:rsid w:val="007C38E1"/>
    <w:rsid w:val="007D291D"/>
    <w:rsid w:val="007E1DC0"/>
    <w:rsid w:val="007F4FE6"/>
    <w:rsid w:val="00811CF3"/>
    <w:rsid w:val="0086410A"/>
    <w:rsid w:val="00867CC6"/>
    <w:rsid w:val="00885976"/>
    <w:rsid w:val="008A4516"/>
    <w:rsid w:val="008B6590"/>
    <w:rsid w:val="008C20A6"/>
    <w:rsid w:val="008C54DE"/>
    <w:rsid w:val="008D76BE"/>
    <w:rsid w:val="008E070E"/>
    <w:rsid w:val="00905FC9"/>
    <w:rsid w:val="009072D1"/>
    <w:rsid w:val="009131D0"/>
    <w:rsid w:val="00926D39"/>
    <w:rsid w:val="0094482A"/>
    <w:rsid w:val="00950867"/>
    <w:rsid w:val="00953AE9"/>
    <w:rsid w:val="0096411E"/>
    <w:rsid w:val="0096488B"/>
    <w:rsid w:val="009748BA"/>
    <w:rsid w:val="00977DCD"/>
    <w:rsid w:val="0099681B"/>
    <w:rsid w:val="009A15D4"/>
    <w:rsid w:val="009B66DA"/>
    <w:rsid w:val="00A026E1"/>
    <w:rsid w:val="00A15323"/>
    <w:rsid w:val="00A20A47"/>
    <w:rsid w:val="00A31F20"/>
    <w:rsid w:val="00A3283A"/>
    <w:rsid w:val="00A3439B"/>
    <w:rsid w:val="00A45436"/>
    <w:rsid w:val="00A468A7"/>
    <w:rsid w:val="00A60C53"/>
    <w:rsid w:val="00A6152E"/>
    <w:rsid w:val="00A61F5F"/>
    <w:rsid w:val="00A62CC1"/>
    <w:rsid w:val="00A66935"/>
    <w:rsid w:val="00A80335"/>
    <w:rsid w:val="00A91218"/>
    <w:rsid w:val="00AA1469"/>
    <w:rsid w:val="00AA3352"/>
    <w:rsid w:val="00AA4004"/>
    <w:rsid w:val="00AC1B55"/>
    <w:rsid w:val="00AC3597"/>
    <w:rsid w:val="00AD6302"/>
    <w:rsid w:val="00AE1031"/>
    <w:rsid w:val="00AF399F"/>
    <w:rsid w:val="00B32822"/>
    <w:rsid w:val="00B33306"/>
    <w:rsid w:val="00B46A07"/>
    <w:rsid w:val="00B71F49"/>
    <w:rsid w:val="00B800E6"/>
    <w:rsid w:val="00B83B3D"/>
    <w:rsid w:val="00B85BB0"/>
    <w:rsid w:val="00B86298"/>
    <w:rsid w:val="00B87210"/>
    <w:rsid w:val="00B969C1"/>
    <w:rsid w:val="00BA4D10"/>
    <w:rsid w:val="00BC4BA1"/>
    <w:rsid w:val="00C05A50"/>
    <w:rsid w:val="00C33735"/>
    <w:rsid w:val="00C356CA"/>
    <w:rsid w:val="00C46536"/>
    <w:rsid w:val="00C518EE"/>
    <w:rsid w:val="00C74F17"/>
    <w:rsid w:val="00C820DB"/>
    <w:rsid w:val="00C8453F"/>
    <w:rsid w:val="00C8622B"/>
    <w:rsid w:val="00C95F66"/>
    <w:rsid w:val="00C97AFB"/>
    <w:rsid w:val="00CC10F2"/>
    <w:rsid w:val="00CE7019"/>
    <w:rsid w:val="00D048F8"/>
    <w:rsid w:val="00D04AD4"/>
    <w:rsid w:val="00D2132A"/>
    <w:rsid w:val="00D33B52"/>
    <w:rsid w:val="00D416E8"/>
    <w:rsid w:val="00D452F0"/>
    <w:rsid w:val="00D4681B"/>
    <w:rsid w:val="00D60248"/>
    <w:rsid w:val="00D645A8"/>
    <w:rsid w:val="00D66DE0"/>
    <w:rsid w:val="00D8719A"/>
    <w:rsid w:val="00D97AFD"/>
    <w:rsid w:val="00DA44CF"/>
    <w:rsid w:val="00DB6602"/>
    <w:rsid w:val="00DB67BA"/>
    <w:rsid w:val="00DC2E82"/>
    <w:rsid w:val="00DE6E73"/>
    <w:rsid w:val="00DE771C"/>
    <w:rsid w:val="00E0042A"/>
    <w:rsid w:val="00E00589"/>
    <w:rsid w:val="00E02603"/>
    <w:rsid w:val="00E43A74"/>
    <w:rsid w:val="00E45CBE"/>
    <w:rsid w:val="00E50DEB"/>
    <w:rsid w:val="00E51176"/>
    <w:rsid w:val="00E5139F"/>
    <w:rsid w:val="00E642DA"/>
    <w:rsid w:val="00E7166E"/>
    <w:rsid w:val="00EC1A20"/>
    <w:rsid w:val="00EC5D7F"/>
    <w:rsid w:val="00ED3F6F"/>
    <w:rsid w:val="00EE16FB"/>
    <w:rsid w:val="00EE52AF"/>
    <w:rsid w:val="00F147C7"/>
    <w:rsid w:val="00F24395"/>
    <w:rsid w:val="00F40983"/>
    <w:rsid w:val="00F43148"/>
    <w:rsid w:val="00F477A4"/>
    <w:rsid w:val="00F51B09"/>
    <w:rsid w:val="00F62F99"/>
    <w:rsid w:val="00F76636"/>
    <w:rsid w:val="00FA0770"/>
    <w:rsid w:val="00FA49EC"/>
    <w:rsid w:val="00FC7279"/>
    <w:rsid w:val="00FC7750"/>
    <w:rsid w:val="00FD0B25"/>
    <w:rsid w:val="00FD0F1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81B5DA-C8EC-4A4A-B0D9-8CE5305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16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2023-07-05T13:20:00Z</cp:lastPrinted>
  <dcterms:created xsi:type="dcterms:W3CDTF">2018-08-21T14:38:00Z</dcterms:created>
  <dcterms:modified xsi:type="dcterms:W3CDTF">2023-07-12T10:42:00Z</dcterms:modified>
</cp:coreProperties>
</file>